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D930E" w14:textId="52382937" w:rsidR="008721DD" w:rsidRPr="00C23ABE" w:rsidRDefault="003E0F53" w:rsidP="003E0F53">
      <w:pPr>
        <w:jc w:val="center"/>
        <w:rPr>
          <w:rFonts w:ascii="Times New Roman" w:hAnsi="Times New Roman" w:cs="Times New Roman"/>
          <w:b/>
          <w:bCs/>
          <w:sz w:val="24"/>
          <w:szCs w:val="24"/>
          <w:u w:val="single"/>
          <w:lang w:val="en-US"/>
        </w:rPr>
      </w:pPr>
      <w:r w:rsidRPr="00C23ABE">
        <w:rPr>
          <w:rFonts w:ascii="Times New Roman" w:hAnsi="Times New Roman" w:cs="Times New Roman"/>
          <w:b/>
          <w:bCs/>
          <w:sz w:val="24"/>
          <w:szCs w:val="24"/>
          <w:u w:val="single"/>
          <w:lang w:val="en-US"/>
        </w:rPr>
        <w:t>Supplementary material</w:t>
      </w:r>
    </w:p>
    <w:p w14:paraId="65D9F794" w14:textId="77777777" w:rsidR="00667340" w:rsidRPr="00C23ABE" w:rsidRDefault="00667340" w:rsidP="003E0F53">
      <w:pPr>
        <w:tabs>
          <w:tab w:val="left" w:pos="3969"/>
        </w:tabs>
        <w:spacing w:line="480" w:lineRule="auto"/>
        <w:jc w:val="both"/>
        <w:rPr>
          <w:rFonts w:ascii="Times New Roman" w:hAnsi="Times New Roman" w:cs="Times New Roman"/>
          <w:b/>
          <w:bCs/>
          <w:sz w:val="24"/>
          <w:szCs w:val="24"/>
          <w:lang w:val="en-US"/>
        </w:rPr>
      </w:pPr>
    </w:p>
    <w:p w14:paraId="39A28DE7" w14:textId="01BA5EF8" w:rsidR="003E0F53" w:rsidRPr="00C23ABE" w:rsidRDefault="003E0F53" w:rsidP="003E0F53">
      <w:pPr>
        <w:tabs>
          <w:tab w:val="left" w:pos="3969"/>
        </w:tabs>
        <w:spacing w:line="480" w:lineRule="auto"/>
        <w:jc w:val="both"/>
        <w:rPr>
          <w:rFonts w:ascii="Times New Roman" w:hAnsi="Times New Roman" w:cs="Times New Roman"/>
          <w:i/>
          <w:iCs/>
          <w:sz w:val="24"/>
          <w:szCs w:val="24"/>
          <w:lang w:val="en-US"/>
        </w:rPr>
      </w:pPr>
      <w:r w:rsidRPr="00C23ABE">
        <w:rPr>
          <w:rFonts w:ascii="Times New Roman" w:hAnsi="Times New Roman" w:cs="Times New Roman"/>
          <w:b/>
          <w:bCs/>
          <w:sz w:val="24"/>
          <w:szCs w:val="24"/>
          <w:lang w:val="en-US"/>
        </w:rPr>
        <w:t xml:space="preserve">Fig. S1. </w:t>
      </w:r>
      <w:r w:rsidRPr="00C23ABE">
        <w:rPr>
          <w:rFonts w:ascii="Times New Roman" w:hAnsi="Times New Roman" w:cs="Times New Roman"/>
          <w:sz w:val="24"/>
          <w:szCs w:val="24"/>
          <w:lang w:val="en-US"/>
        </w:rPr>
        <w:t xml:space="preserve">Construction and expression of PVX ROTH1-GFP in </w:t>
      </w:r>
      <w:r w:rsidRPr="00C23ABE">
        <w:rPr>
          <w:rFonts w:ascii="Times New Roman" w:hAnsi="Times New Roman" w:cs="Times New Roman"/>
          <w:i/>
          <w:iCs/>
          <w:sz w:val="24"/>
          <w:szCs w:val="24"/>
          <w:lang w:val="en-US"/>
        </w:rPr>
        <w:t>Nicotiana benthamiana</w:t>
      </w:r>
    </w:p>
    <w:p w14:paraId="49C4039C" w14:textId="7FCB5E3F" w:rsidR="003E0F53" w:rsidRPr="00C23ABE" w:rsidRDefault="003E0F53" w:rsidP="003E0F53">
      <w:pPr>
        <w:tabs>
          <w:tab w:val="left" w:pos="3969"/>
        </w:tabs>
        <w:spacing w:line="480" w:lineRule="auto"/>
        <w:jc w:val="both"/>
        <w:rPr>
          <w:rFonts w:ascii="Times New Roman" w:hAnsi="Times New Roman" w:cs="Times New Roman"/>
          <w:sz w:val="24"/>
          <w:szCs w:val="24"/>
          <w:lang w:val="en-US"/>
        </w:rPr>
      </w:pPr>
      <w:r w:rsidRPr="00C23ABE">
        <w:rPr>
          <w:rFonts w:ascii="Times New Roman" w:hAnsi="Times New Roman" w:cs="Times New Roman"/>
          <w:b/>
          <w:bCs/>
          <w:sz w:val="24"/>
          <w:szCs w:val="24"/>
          <w:lang w:val="en-US"/>
        </w:rPr>
        <w:t xml:space="preserve">Fig. S2. </w:t>
      </w:r>
      <w:r w:rsidRPr="00C23ABE">
        <w:rPr>
          <w:rFonts w:ascii="Times New Roman" w:hAnsi="Times New Roman" w:cs="Times New Roman"/>
          <w:sz w:val="24"/>
          <w:szCs w:val="24"/>
          <w:lang w:val="en-US"/>
        </w:rPr>
        <w:t>Experimental workflow for rosemary extract treatments and pathogen challenge</w:t>
      </w:r>
    </w:p>
    <w:p w14:paraId="63CC9460" w14:textId="3A650D61" w:rsidR="003E0F53" w:rsidRPr="00C23ABE" w:rsidRDefault="003E0F53" w:rsidP="003E0F53">
      <w:pPr>
        <w:tabs>
          <w:tab w:val="left" w:pos="3969"/>
        </w:tabs>
        <w:spacing w:line="480" w:lineRule="auto"/>
        <w:jc w:val="both"/>
        <w:rPr>
          <w:rFonts w:ascii="Times New Roman" w:hAnsi="Times New Roman" w:cs="Times New Roman"/>
          <w:b/>
          <w:bCs/>
          <w:sz w:val="24"/>
          <w:szCs w:val="24"/>
          <w:lang w:val="en-US"/>
        </w:rPr>
      </w:pPr>
      <w:r w:rsidRPr="00C23ABE">
        <w:rPr>
          <w:rFonts w:ascii="Times New Roman" w:hAnsi="Times New Roman" w:cs="Times New Roman"/>
          <w:b/>
          <w:bCs/>
          <w:sz w:val="24"/>
          <w:szCs w:val="24"/>
          <w:lang w:val="en-US"/>
        </w:rPr>
        <w:t xml:space="preserve">Fig. S3. </w:t>
      </w:r>
      <w:r w:rsidRPr="00C23ABE">
        <w:rPr>
          <w:rFonts w:ascii="Times New Roman" w:hAnsi="Times New Roman" w:cs="Times New Roman"/>
          <w:sz w:val="24"/>
          <w:szCs w:val="24"/>
          <w:lang w:val="en-US"/>
        </w:rPr>
        <w:t>Differential metabolite accumulation of resistant and susceptible potato cultivars.</w:t>
      </w:r>
    </w:p>
    <w:p w14:paraId="717B5600" w14:textId="3CDB8724" w:rsidR="003E0F53" w:rsidRPr="00C23ABE" w:rsidRDefault="003E0F53" w:rsidP="003E0F53">
      <w:pPr>
        <w:tabs>
          <w:tab w:val="left" w:pos="3969"/>
        </w:tabs>
        <w:spacing w:line="480" w:lineRule="auto"/>
        <w:jc w:val="both"/>
        <w:rPr>
          <w:rFonts w:ascii="Times New Roman" w:hAnsi="Times New Roman" w:cs="Times New Roman"/>
          <w:sz w:val="24"/>
          <w:szCs w:val="24"/>
          <w:lang w:val="en-US"/>
        </w:rPr>
      </w:pPr>
      <w:r w:rsidRPr="00C23ABE">
        <w:rPr>
          <w:rFonts w:ascii="Times New Roman" w:hAnsi="Times New Roman" w:cs="Times New Roman"/>
          <w:b/>
          <w:bCs/>
          <w:color w:val="141413"/>
          <w:sz w:val="24"/>
          <w:szCs w:val="24"/>
          <w:lang w:val="en-US"/>
        </w:rPr>
        <w:t xml:space="preserve">Fig. S4. </w:t>
      </w:r>
      <w:r w:rsidRPr="00C23ABE">
        <w:rPr>
          <w:rFonts w:ascii="Times New Roman" w:hAnsi="Times New Roman" w:cs="Times New Roman"/>
          <w:sz w:val="24"/>
          <w:szCs w:val="24"/>
          <w:lang w:val="en-US"/>
        </w:rPr>
        <w:t>Nb-mediated hypersensitive response (HR) to the PVX ROTH1 effector 25K1 in potato cultivars.</w:t>
      </w:r>
    </w:p>
    <w:p w14:paraId="196117D2" w14:textId="2CDAA389" w:rsidR="003E0F53" w:rsidRPr="00C23ABE" w:rsidRDefault="003E0F53" w:rsidP="00667340">
      <w:pPr>
        <w:rPr>
          <w:rFonts w:ascii="Times New Roman" w:hAnsi="Times New Roman" w:cs="Times New Roman"/>
          <w:sz w:val="24"/>
          <w:szCs w:val="24"/>
          <w:lang w:val="en-US"/>
        </w:rPr>
      </w:pPr>
      <w:r w:rsidRPr="00C23ABE">
        <w:rPr>
          <w:rFonts w:ascii="Times New Roman" w:hAnsi="Times New Roman" w:cs="Times New Roman"/>
          <w:sz w:val="24"/>
          <w:szCs w:val="24"/>
          <w:lang w:val="en-US"/>
        </w:rPr>
        <w:br w:type="page"/>
      </w:r>
      <w:r w:rsidRPr="00C23ABE">
        <w:rPr>
          <w:rFonts w:ascii="Times New Roman" w:hAnsi="Times New Roman" w:cs="Times New Roman"/>
          <w:noProof/>
          <w:sz w:val="24"/>
          <w:szCs w:val="24"/>
          <w:lang w:val="en-US"/>
        </w:rPr>
        <w:lastRenderedPageBreak/>
        <w:drawing>
          <wp:inline distT="0" distB="0" distL="0" distR="0" wp14:anchorId="5E6A658F" wp14:editId="37778D06">
            <wp:extent cx="3590925" cy="3044937"/>
            <wp:effectExtent l="0" t="0" r="0" b="3175"/>
            <wp:docPr id="3702067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206747" name="Imagen 370206747"/>
                    <pic:cNvPicPr/>
                  </pic:nvPicPr>
                  <pic:blipFill>
                    <a:blip r:embed="rId4" cstate="print">
                      <a:extLst>
                        <a:ext uri="{28A0092B-C50C-407E-A947-70E740481C1C}">
                          <a14:useLocalDpi xmlns:a14="http://schemas.microsoft.com/office/drawing/2010/main" val="0"/>
                        </a:ext>
                      </a:extLst>
                    </a:blip>
                    <a:stretch>
                      <a:fillRect/>
                    </a:stretch>
                  </pic:blipFill>
                  <pic:spPr>
                    <a:xfrm>
                      <a:off x="0" y="0"/>
                      <a:ext cx="3614921" cy="3065285"/>
                    </a:xfrm>
                    <a:prstGeom prst="rect">
                      <a:avLst/>
                    </a:prstGeom>
                  </pic:spPr>
                </pic:pic>
              </a:graphicData>
            </a:graphic>
          </wp:inline>
        </w:drawing>
      </w:r>
    </w:p>
    <w:p w14:paraId="1E3616A9" w14:textId="4E4C0CEF" w:rsidR="003E0F53" w:rsidRPr="00C23ABE" w:rsidRDefault="003E0F53" w:rsidP="003E0F53">
      <w:pPr>
        <w:tabs>
          <w:tab w:val="left" w:pos="3969"/>
        </w:tabs>
        <w:spacing w:line="480" w:lineRule="auto"/>
        <w:jc w:val="both"/>
        <w:rPr>
          <w:rFonts w:ascii="Times New Roman" w:hAnsi="Times New Roman" w:cs="Times New Roman"/>
          <w:sz w:val="24"/>
          <w:szCs w:val="24"/>
          <w:lang w:val="en-US"/>
        </w:rPr>
      </w:pPr>
      <w:r w:rsidRPr="00C23ABE">
        <w:rPr>
          <w:rFonts w:ascii="Times New Roman" w:hAnsi="Times New Roman" w:cs="Times New Roman"/>
          <w:b/>
          <w:bCs/>
          <w:sz w:val="24"/>
          <w:szCs w:val="24"/>
          <w:lang w:val="en-US"/>
        </w:rPr>
        <w:t xml:space="preserve"> Fig. S1. Construction and expression of PVX ROTH1-GFP in </w:t>
      </w:r>
      <w:r w:rsidRPr="00C23ABE">
        <w:rPr>
          <w:rFonts w:ascii="Times New Roman" w:hAnsi="Times New Roman" w:cs="Times New Roman"/>
          <w:b/>
          <w:bCs/>
          <w:i/>
          <w:iCs/>
          <w:sz w:val="24"/>
          <w:szCs w:val="24"/>
          <w:lang w:val="en-US"/>
        </w:rPr>
        <w:t>Nicotiana benthamiana</w:t>
      </w:r>
      <w:r w:rsidRPr="00C23ABE">
        <w:rPr>
          <w:rFonts w:ascii="Times New Roman" w:hAnsi="Times New Roman" w:cs="Times New Roman"/>
          <w:b/>
          <w:bCs/>
          <w:sz w:val="24"/>
          <w:szCs w:val="24"/>
          <w:lang w:val="en-US"/>
        </w:rPr>
        <w:t xml:space="preserve">. </w:t>
      </w:r>
      <w:r w:rsidRPr="00C23ABE">
        <w:rPr>
          <w:rFonts w:ascii="Times New Roman" w:hAnsi="Times New Roman" w:cs="Times New Roman"/>
          <w:b/>
          <w:bCs/>
          <w:i/>
          <w:iCs/>
          <w:sz w:val="24"/>
          <w:szCs w:val="24"/>
          <w:lang w:val="en-US"/>
        </w:rPr>
        <w:t xml:space="preserve"> </w:t>
      </w:r>
      <w:r w:rsidRPr="00C23ABE">
        <w:rPr>
          <w:rFonts w:ascii="Times New Roman" w:hAnsi="Times New Roman" w:cs="Times New Roman"/>
          <w:b/>
          <w:bCs/>
          <w:sz w:val="24"/>
          <w:szCs w:val="24"/>
          <w:lang w:val="en-US"/>
        </w:rPr>
        <w:t>a.</w:t>
      </w:r>
      <w:r w:rsidRPr="00C23ABE">
        <w:rPr>
          <w:rFonts w:ascii="Times New Roman" w:hAnsi="Times New Roman" w:cs="Times New Roman"/>
          <w:sz w:val="24"/>
          <w:szCs w:val="24"/>
          <w:lang w:val="en-US"/>
        </w:rPr>
        <w:t xml:space="preserve"> Schematic representation of the plasmids used in this study. Except for the viral cDNA regions, the diagrams are schematic and not drawn to scale. Each construct contains sequences encoding the viral RNA-dependent RNA polymerase (</w:t>
      </w:r>
      <w:proofErr w:type="spellStart"/>
      <w:r w:rsidRPr="00C23ABE">
        <w:rPr>
          <w:rFonts w:ascii="Times New Roman" w:hAnsi="Times New Roman" w:cs="Times New Roman"/>
          <w:sz w:val="24"/>
          <w:szCs w:val="24"/>
          <w:lang w:val="en-US"/>
        </w:rPr>
        <w:t>RdRp</w:t>
      </w:r>
      <w:proofErr w:type="spellEnd"/>
      <w:r w:rsidRPr="00C23ABE">
        <w:rPr>
          <w:rFonts w:ascii="Times New Roman" w:hAnsi="Times New Roman" w:cs="Times New Roman"/>
          <w:sz w:val="24"/>
          <w:szCs w:val="24"/>
          <w:lang w:val="en-US"/>
        </w:rPr>
        <w:t xml:space="preserve">), the movement proteins (25, 12, and 8 </w:t>
      </w:r>
      <w:proofErr w:type="spellStart"/>
      <w:r w:rsidRPr="00C23ABE">
        <w:rPr>
          <w:rFonts w:ascii="Times New Roman" w:hAnsi="Times New Roman" w:cs="Times New Roman"/>
          <w:sz w:val="24"/>
          <w:szCs w:val="24"/>
          <w:lang w:val="en-US"/>
        </w:rPr>
        <w:t>kDa</w:t>
      </w:r>
      <w:proofErr w:type="spellEnd"/>
      <w:r w:rsidRPr="00C23ABE">
        <w:rPr>
          <w:rFonts w:ascii="Times New Roman" w:hAnsi="Times New Roman" w:cs="Times New Roman"/>
          <w:sz w:val="24"/>
          <w:szCs w:val="24"/>
          <w:lang w:val="en-US"/>
        </w:rPr>
        <w:t xml:space="preserve">) and the coat protein (CP). The </w:t>
      </w:r>
      <w:proofErr w:type="spellStart"/>
      <w:r w:rsidRPr="00C23ABE">
        <w:rPr>
          <w:rFonts w:ascii="Times New Roman" w:hAnsi="Times New Roman" w:cs="Times New Roman"/>
          <w:sz w:val="24"/>
          <w:szCs w:val="24"/>
          <w:lang w:val="en-US"/>
        </w:rPr>
        <w:t>CaMV</w:t>
      </w:r>
      <w:proofErr w:type="spellEnd"/>
      <w:r w:rsidRPr="00C23ABE">
        <w:rPr>
          <w:rFonts w:ascii="Times New Roman" w:hAnsi="Times New Roman" w:cs="Times New Roman"/>
          <w:sz w:val="24"/>
          <w:szCs w:val="24"/>
          <w:lang w:val="en-US"/>
        </w:rPr>
        <w:t xml:space="preserve"> 35S promoter (35S), the nopaline synthase (NOS) terminator, and the restriction sites used to generate the PVX ROTH1-GFPconstruct are shown in the diagram. </w:t>
      </w:r>
      <w:r w:rsidRPr="00C23ABE">
        <w:rPr>
          <w:rFonts w:ascii="Times New Roman" w:hAnsi="Times New Roman" w:cs="Times New Roman"/>
          <w:b/>
          <w:bCs/>
          <w:sz w:val="24"/>
          <w:szCs w:val="24"/>
          <w:lang w:val="en-US"/>
        </w:rPr>
        <w:t>b</w:t>
      </w:r>
      <w:r w:rsidRPr="00C23ABE">
        <w:rPr>
          <w:rFonts w:ascii="Times New Roman" w:hAnsi="Times New Roman" w:cs="Times New Roman"/>
          <w:sz w:val="24"/>
          <w:szCs w:val="24"/>
          <w:lang w:val="en-US"/>
        </w:rPr>
        <w:t xml:space="preserve"> Leaves of </w:t>
      </w:r>
      <w:r w:rsidRPr="00C23ABE">
        <w:rPr>
          <w:rFonts w:ascii="Times New Roman" w:hAnsi="Times New Roman" w:cs="Times New Roman"/>
          <w:i/>
          <w:iCs/>
          <w:sz w:val="24"/>
          <w:szCs w:val="24"/>
          <w:lang w:val="en-US"/>
        </w:rPr>
        <w:t>Nicotiana benthamiana</w:t>
      </w:r>
      <w:r w:rsidRPr="00C23ABE">
        <w:rPr>
          <w:rFonts w:ascii="Times New Roman" w:hAnsi="Times New Roman" w:cs="Times New Roman"/>
          <w:sz w:val="24"/>
          <w:szCs w:val="24"/>
          <w:lang w:val="en-US"/>
        </w:rPr>
        <w:t xml:space="preserve"> inoculated with the PVX ROTH1-GFP plasmid, 10 days post-inoculation (dpi), shown under white light and ultraviolet (UV) to visualize GFP fluorescence.</w:t>
      </w:r>
    </w:p>
    <w:p w14:paraId="4DB57BF6" w14:textId="2113B702" w:rsidR="003E0F53" w:rsidRPr="00C23ABE" w:rsidRDefault="003E0F53" w:rsidP="003E0F53">
      <w:pPr>
        <w:tabs>
          <w:tab w:val="left" w:pos="3969"/>
        </w:tabs>
        <w:spacing w:line="480" w:lineRule="auto"/>
        <w:jc w:val="both"/>
        <w:rPr>
          <w:rFonts w:ascii="Times New Roman" w:hAnsi="Times New Roman" w:cs="Times New Roman"/>
          <w:sz w:val="24"/>
          <w:szCs w:val="24"/>
          <w:lang w:val="en-US"/>
        </w:rPr>
      </w:pPr>
      <w:r w:rsidRPr="00C23ABE">
        <w:rPr>
          <w:rFonts w:ascii="Times New Roman" w:hAnsi="Times New Roman" w:cs="Times New Roman"/>
          <w:noProof/>
          <w:sz w:val="24"/>
          <w:szCs w:val="24"/>
          <w:lang w:val="en-US"/>
        </w:rPr>
        <w:lastRenderedPageBreak/>
        <w:drawing>
          <wp:inline distT="0" distB="0" distL="0" distR="0" wp14:anchorId="0C607CA1" wp14:editId="0252A459">
            <wp:extent cx="5943600" cy="2580005"/>
            <wp:effectExtent l="0" t="0" r="0" b="0"/>
            <wp:docPr id="33933134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331349" name="Imagen 339331349"/>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2580005"/>
                    </a:xfrm>
                    <a:prstGeom prst="rect">
                      <a:avLst/>
                    </a:prstGeom>
                  </pic:spPr>
                </pic:pic>
              </a:graphicData>
            </a:graphic>
          </wp:inline>
        </w:drawing>
      </w:r>
    </w:p>
    <w:p w14:paraId="1C101AAD" w14:textId="77777777" w:rsidR="003E0F53" w:rsidRPr="00C23ABE" w:rsidRDefault="003E0F53" w:rsidP="003E0F53">
      <w:pPr>
        <w:tabs>
          <w:tab w:val="left" w:pos="3969"/>
        </w:tabs>
        <w:spacing w:line="480" w:lineRule="auto"/>
        <w:jc w:val="both"/>
        <w:rPr>
          <w:rFonts w:ascii="Times New Roman" w:hAnsi="Times New Roman" w:cs="Times New Roman"/>
          <w:sz w:val="24"/>
          <w:szCs w:val="24"/>
          <w:lang w:val="en-US"/>
        </w:rPr>
      </w:pPr>
      <w:r w:rsidRPr="00C23ABE">
        <w:rPr>
          <w:rFonts w:ascii="Times New Roman" w:hAnsi="Times New Roman" w:cs="Times New Roman"/>
          <w:b/>
          <w:bCs/>
          <w:sz w:val="24"/>
          <w:szCs w:val="24"/>
          <w:lang w:val="en-US"/>
        </w:rPr>
        <w:t xml:space="preserve">Fig. S2. Experimental workflow for rosemary extract treatments and pathogen challenge. </w:t>
      </w:r>
      <w:r w:rsidRPr="00C23ABE">
        <w:rPr>
          <w:rFonts w:ascii="Times New Roman" w:hAnsi="Times New Roman" w:cs="Times New Roman"/>
          <w:sz w:val="24"/>
          <w:szCs w:val="24"/>
          <w:lang w:val="en-US"/>
        </w:rPr>
        <w:t>Foliar applications of aqueous rosemary extract (ARE) were performed by spraying every 24 h for 2 consecutive days. Forty-eight hours after the first treatment, plants were inoculated with pathogens. Symptom development was monitored to assess the protective effect of the extracts.</w:t>
      </w:r>
    </w:p>
    <w:p w14:paraId="7E172B5D" w14:textId="240C0A28" w:rsidR="003E0F53" w:rsidRPr="00C23ABE" w:rsidRDefault="003E0F53" w:rsidP="003E0F53">
      <w:pPr>
        <w:tabs>
          <w:tab w:val="left" w:pos="3969"/>
        </w:tabs>
        <w:spacing w:line="480" w:lineRule="auto"/>
        <w:jc w:val="center"/>
        <w:rPr>
          <w:rFonts w:ascii="Times New Roman" w:hAnsi="Times New Roman" w:cs="Times New Roman"/>
          <w:sz w:val="24"/>
          <w:szCs w:val="24"/>
          <w:lang w:val="en-US"/>
        </w:rPr>
      </w:pPr>
      <w:r w:rsidRPr="00C23ABE">
        <w:rPr>
          <w:rFonts w:ascii="Times New Roman" w:hAnsi="Times New Roman" w:cs="Times New Roman"/>
          <w:noProof/>
          <w:sz w:val="24"/>
          <w:szCs w:val="24"/>
          <w:lang w:val="en-US"/>
        </w:rPr>
        <w:lastRenderedPageBreak/>
        <w:drawing>
          <wp:inline distT="0" distB="0" distL="0" distR="0" wp14:anchorId="7CEE780B" wp14:editId="1825EF1B">
            <wp:extent cx="3029712" cy="5105400"/>
            <wp:effectExtent l="0" t="0" r="0" b="0"/>
            <wp:docPr id="172480944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809447" name="Imagen 1724809447"/>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29712" cy="5105400"/>
                    </a:xfrm>
                    <a:prstGeom prst="rect">
                      <a:avLst/>
                    </a:prstGeom>
                  </pic:spPr>
                </pic:pic>
              </a:graphicData>
            </a:graphic>
          </wp:inline>
        </w:drawing>
      </w:r>
    </w:p>
    <w:p w14:paraId="30DC2B0D" w14:textId="6B0532C5" w:rsidR="003E0F53" w:rsidRPr="00C23ABE" w:rsidRDefault="003E0F53" w:rsidP="003E0F53">
      <w:pPr>
        <w:tabs>
          <w:tab w:val="left" w:pos="3969"/>
        </w:tabs>
        <w:spacing w:line="480" w:lineRule="auto"/>
        <w:jc w:val="both"/>
        <w:rPr>
          <w:rFonts w:ascii="Times New Roman" w:hAnsi="Times New Roman" w:cs="Times New Roman"/>
          <w:sz w:val="24"/>
          <w:szCs w:val="24"/>
          <w:lang w:val="en-US"/>
        </w:rPr>
      </w:pPr>
      <w:r w:rsidRPr="00C23ABE">
        <w:rPr>
          <w:rFonts w:ascii="Times New Roman" w:hAnsi="Times New Roman" w:cs="Times New Roman"/>
          <w:b/>
          <w:bCs/>
          <w:sz w:val="24"/>
          <w:szCs w:val="24"/>
          <w:lang w:val="en-US"/>
        </w:rPr>
        <w:t>Fig. S3. Differential metabolite accumulation of resistant and susceptible potato cultivars. a.</w:t>
      </w:r>
      <w:r w:rsidRPr="00C23ABE">
        <w:rPr>
          <w:rFonts w:ascii="Times New Roman" w:hAnsi="Times New Roman" w:cs="Times New Roman"/>
          <w:sz w:val="24"/>
          <w:szCs w:val="24"/>
          <w:lang w:val="en-US"/>
        </w:rPr>
        <w:t xml:space="preserve"> Violin plots showing the normalized concentration for the annotated metabolites identified as significantly different between resistant and susceptible potato cultivars by the volcano plot analysis. </w:t>
      </w:r>
      <w:r w:rsidRPr="00C23ABE">
        <w:rPr>
          <w:rFonts w:ascii="Times New Roman" w:hAnsi="Times New Roman" w:cs="Times New Roman"/>
          <w:b/>
          <w:bCs/>
          <w:sz w:val="24"/>
          <w:szCs w:val="24"/>
          <w:lang w:val="en-US"/>
        </w:rPr>
        <w:t>b.</w:t>
      </w:r>
      <w:r w:rsidRPr="00C23ABE">
        <w:rPr>
          <w:rFonts w:ascii="Times New Roman" w:hAnsi="Times New Roman" w:cs="Times New Roman"/>
          <w:sz w:val="24"/>
          <w:szCs w:val="24"/>
          <w:lang w:val="en-US"/>
        </w:rPr>
        <w:t xml:space="preserve"> Analysis of defense-related genes in potato leaves of different cultivars. </w:t>
      </w:r>
      <w:r w:rsidRPr="00C23ABE">
        <w:rPr>
          <w:rFonts w:ascii="Times New Roman" w:hAnsi="Times New Roman" w:cs="Times New Roman"/>
          <w:color w:val="141413"/>
          <w:sz w:val="24"/>
          <w:szCs w:val="24"/>
          <w:lang w:val="en-US"/>
        </w:rPr>
        <w:t xml:space="preserve">Reverse transcription quantitative PCR (qPCR) </w:t>
      </w:r>
      <w:r w:rsidRPr="00C23ABE">
        <w:rPr>
          <w:rFonts w:ascii="Times New Roman" w:hAnsi="Times New Roman" w:cs="Times New Roman"/>
          <w:sz w:val="24"/>
          <w:szCs w:val="24"/>
          <w:lang w:val="en-US"/>
        </w:rPr>
        <w:t>of SA biosynthesis genes (</w:t>
      </w:r>
      <w:r w:rsidRPr="00C23ABE">
        <w:rPr>
          <w:rFonts w:ascii="Times New Roman" w:hAnsi="Times New Roman" w:cs="Times New Roman"/>
          <w:i/>
          <w:iCs/>
          <w:sz w:val="24"/>
          <w:szCs w:val="24"/>
          <w:lang w:val="en-US"/>
        </w:rPr>
        <w:t>ICS1</w:t>
      </w:r>
      <w:r w:rsidRPr="00C23ABE">
        <w:rPr>
          <w:rFonts w:ascii="Times New Roman" w:hAnsi="Times New Roman" w:cs="Times New Roman"/>
          <w:sz w:val="24"/>
          <w:szCs w:val="24"/>
          <w:lang w:val="en-US"/>
        </w:rPr>
        <w:t xml:space="preserve">, </w:t>
      </w:r>
      <w:r w:rsidRPr="00C23ABE">
        <w:rPr>
          <w:rFonts w:ascii="Times New Roman" w:hAnsi="Times New Roman" w:cs="Times New Roman"/>
          <w:i/>
          <w:iCs/>
          <w:sz w:val="24"/>
          <w:szCs w:val="24"/>
          <w:lang w:val="en-US"/>
        </w:rPr>
        <w:t>PAL1</w:t>
      </w:r>
      <w:r w:rsidRPr="00C23ABE">
        <w:rPr>
          <w:rFonts w:ascii="Times New Roman" w:hAnsi="Times New Roman" w:cs="Times New Roman"/>
          <w:sz w:val="24"/>
          <w:szCs w:val="24"/>
          <w:lang w:val="en-US"/>
        </w:rPr>
        <w:t>) and defense-related genes (</w:t>
      </w:r>
      <w:r w:rsidRPr="00C23ABE">
        <w:rPr>
          <w:rFonts w:ascii="Times New Roman" w:hAnsi="Times New Roman" w:cs="Times New Roman"/>
          <w:i/>
          <w:iCs/>
          <w:sz w:val="24"/>
          <w:szCs w:val="24"/>
          <w:lang w:val="en-US"/>
        </w:rPr>
        <w:t>PR1</w:t>
      </w:r>
      <w:r w:rsidRPr="00C23ABE">
        <w:rPr>
          <w:rFonts w:ascii="Times New Roman" w:hAnsi="Times New Roman" w:cs="Times New Roman"/>
          <w:sz w:val="24"/>
          <w:szCs w:val="24"/>
          <w:lang w:val="en-US"/>
        </w:rPr>
        <w:t xml:space="preserve">, SA signaling; </w:t>
      </w:r>
      <w:r w:rsidRPr="00C23ABE">
        <w:rPr>
          <w:rFonts w:ascii="Times New Roman" w:hAnsi="Times New Roman" w:cs="Times New Roman"/>
          <w:i/>
          <w:iCs/>
          <w:sz w:val="24"/>
          <w:szCs w:val="24"/>
          <w:lang w:val="en-US"/>
        </w:rPr>
        <w:t>UGT74B1</w:t>
      </w:r>
      <w:r w:rsidRPr="00C23ABE">
        <w:rPr>
          <w:rFonts w:ascii="Times New Roman" w:hAnsi="Times New Roman" w:cs="Times New Roman"/>
          <w:sz w:val="24"/>
          <w:szCs w:val="24"/>
          <w:lang w:val="en-US"/>
        </w:rPr>
        <w:t>, glucosinolate metabolism) in Innovator (I) and Spunta (</w:t>
      </w:r>
      <w:proofErr w:type="spellStart"/>
      <w:r w:rsidRPr="00C23ABE">
        <w:rPr>
          <w:rFonts w:ascii="Times New Roman" w:hAnsi="Times New Roman" w:cs="Times New Roman"/>
          <w:sz w:val="24"/>
          <w:szCs w:val="24"/>
          <w:lang w:val="en-US"/>
        </w:rPr>
        <w:t>Sp</w:t>
      </w:r>
      <w:proofErr w:type="spellEnd"/>
      <w:r w:rsidRPr="00C23ABE">
        <w:rPr>
          <w:rFonts w:ascii="Times New Roman" w:hAnsi="Times New Roman" w:cs="Times New Roman"/>
          <w:sz w:val="24"/>
          <w:szCs w:val="24"/>
          <w:lang w:val="en-US"/>
        </w:rPr>
        <w:t xml:space="preserve">). </w:t>
      </w:r>
      <w:r w:rsidRPr="00C23ABE">
        <w:rPr>
          <w:rFonts w:ascii="Times New Roman" w:hAnsi="Times New Roman" w:cs="Times New Roman"/>
          <w:color w:val="141413"/>
          <w:sz w:val="24"/>
          <w:szCs w:val="24"/>
          <w:lang w:val="en-US"/>
        </w:rPr>
        <w:t xml:space="preserve">Values were normalized to the constitutive </w:t>
      </w:r>
      <w:r w:rsidRPr="00C23ABE">
        <w:rPr>
          <w:rFonts w:ascii="Times New Roman" w:hAnsi="Times New Roman" w:cs="Times New Roman"/>
          <w:i/>
          <w:iCs/>
          <w:color w:val="141413"/>
          <w:sz w:val="24"/>
          <w:szCs w:val="24"/>
          <w:lang w:val="en-US"/>
        </w:rPr>
        <w:t>EF-</w:t>
      </w:r>
      <w:r w:rsidRPr="00C23ABE">
        <w:rPr>
          <w:rFonts w:ascii="Times New Roman" w:hAnsi="Times New Roman" w:cs="Times New Roman"/>
          <w:i/>
          <w:iCs/>
          <w:color w:val="141413"/>
          <w:sz w:val="24"/>
          <w:szCs w:val="24"/>
        </w:rPr>
        <w:t>α</w:t>
      </w:r>
      <w:r w:rsidRPr="00C23ABE">
        <w:rPr>
          <w:rFonts w:ascii="Times New Roman" w:hAnsi="Times New Roman" w:cs="Times New Roman"/>
          <w:i/>
          <w:iCs/>
          <w:color w:val="141413"/>
          <w:sz w:val="24"/>
          <w:szCs w:val="24"/>
          <w:lang w:val="en-US"/>
        </w:rPr>
        <w:t xml:space="preserve"> </w:t>
      </w:r>
      <w:r w:rsidRPr="00C23ABE">
        <w:rPr>
          <w:rFonts w:ascii="Times New Roman" w:hAnsi="Times New Roman" w:cs="Times New Roman"/>
          <w:color w:val="141413"/>
          <w:sz w:val="24"/>
          <w:szCs w:val="24"/>
          <w:lang w:val="en-US"/>
        </w:rPr>
        <w:t xml:space="preserve">gene and fold-changes were expressed relative to Spunta. Means ± standard deviation of eight to ten replicates, each consisting of five leaves from </w:t>
      </w:r>
      <w:r w:rsidRPr="00C23ABE">
        <w:rPr>
          <w:rFonts w:ascii="Times New Roman" w:hAnsi="Times New Roman" w:cs="Times New Roman"/>
          <w:color w:val="141413"/>
          <w:sz w:val="24"/>
          <w:szCs w:val="24"/>
          <w:lang w:val="en-US"/>
        </w:rPr>
        <w:lastRenderedPageBreak/>
        <w:t xml:space="preserve">ten different plants are shown. </w:t>
      </w:r>
      <w:r w:rsidRPr="00C23ABE">
        <w:rPr>
          <w:rFonts w:ascii="Times New Roman" w:hAnsi="Times New Roman" w:cs="Times New Roman"/>
          <w:sz w:val="24"/>
          <w:szCs w:val="24"/>
          <w:lang w:val="en-US"/>
        </w:rPr>
        <w:t xml:space="preserve">Asterisks </w:t>
      </w:r>
      <w:r w:rsidRPr="00C23ABE">
        <w:rPr>
          <w:rFonts w:ascii="Times New Roman" w:hAnsi="Times New Roman" w:cs="Times New Roman"/>
          <w:color w:val="141413"/>
          <w:sz w:val="24"/>
          <w:szCs w:val="24"/>
          <w:lang w:val="en-US"/>
        </w:rPr>
        <w:t xml:space="preserve">indicate significant differences at </w:t>
      </w:r>
      <w:r w:rsidRPr="00C23ABE">
        <w:rPr>
          <w:rFonts w:ascii="Times New Roman" w:hAnsi="Times New Roman" w:cs="Times New Roman"/>
          <w:i/>
          <w:iCs/>
          <w:color w:val="141413"/>
          <w:sz w:val="24"/>
          <w:szCs w:val="24"/>
          <w:lang w:val="en-US"/>
        </w:rPr>
        <w:t>p</w:t>
      </w:r>
      <w:r w:rsidRPr="00C23ABE">
        <w:rPr>
          <w:rFonts w:ascii="Times New Roman" w:hAnsi="Times New Roman" w:cs="Times New Roman"/>
          <w:color w:val="141413"/>
          <w:sz w:val="24"/>
          <w:szCs w:val="24"/>
          <w:lang w:val="en-US"/>
        </w:rPr>
        <w:t xml:space="preserve"> &lt; 0.05 (one- way analysis of variance, Tukey's test). </w:t>
      </w:r>
      <w:r w:rsidRPr="00C23ABE">
        <w:rPr>
          <w:rFonts w:ascii="Times New Roman" w:hAnsi="Times New Roman" w:cs="Times New Roman"/>
          <w:i/>
          <w:iCs/>
          <w:color w:val="141413"/>
          <w:sz w:val="24"/>
          <w:szCs w:val="24"/>
          <w:lang w:val="en-US"/>
        </w:rPr>
        <w:t>EF-</w:t>
      </w:r>
      <w:r w:rsidRPr="00C23ABE">
        <w:rPr>
          <w:rFonts w:ascii="Times New Roman" w:hAnsi="Times New Roman" w:cs="Times New Roman"/>
          <w:i/>
          <w:iCs/>
          <w:color w:val="141413"/>
          <w:sz w:val="24"/>
          <w:szCs w:val="24"/>
        </w:rPr>
        <w:t>α</w:t>
      </w:r>
      <w:r w:rsidRPr="00C23ABE">
        <w:rPr>
          <w:rFonts w:ascii="Times New Roman" w:hAnsi="Times New Roman" w:cs="Times New Roman"/>
          <w:color w:val="141413"/>
          <w:sz w:val="24"/>
          <w:szCs w:val="24"/>
          <w:lang w:val="en-US"/>
        </w:rPr>
        <w:t xml:space="preserve">, </w:t>
      </w:r>
      <w:r w:rsidRPr="00C23ABE">
        <w:rPr>
          <w:rFonts w:ascii="Times New Roman" w:hAnsi="Times New Roman" w:cs="Times New Roman"/>
          <w:i/>
          <w:iCs/>
          <w:color w:val="141413"/>
          <w:sz w:val="24"/>
          <w:szCs w:val="24"/>
          <w:lang w:val="en-US"/>
        </w:rPr>
        <w:t>ELONGATION FACTOR 1-</w:t>
      </w:r>
      <w:r w:rsidRPr="00C23ABE">
        <w:rPr>
          <w:rFonts w:ascii="Times New Roman" w:hAnsi="Times New Roman" w:cs="Times New Roman"/>
          <w:i/>
          <w:iCs/>
          <w:color w:val="141413"/>
          <w:sz w:val="24"/>
          <w:szCs w:val="24"/>
        </w:rPr>
        <w:t>α</w:t>
      </w:r>
      <w:r w:rsidRPr="00C23ABE">
        <w:rPr>
          <w:rFonts w:ascii="Times New Roman" w:hAnsi="Times New Roman" w:cs="Times New Roman"/>
          <w:color w:val="141413"/>
          <w:sz w:val="24"/>
          <w:szCs w:val="24"/>
          <w:lang w:val="en-US"/>
        </w:rPr>
        <w:t xml:space="preserve">; </w:t>
      </w:r>
      <w:r w:rsidRPr="00C23ABE">
        <w:rPr>
          <w:rFonts w:ascii="Times New Roman" w:hAnsi="Times New Roman" w:cs="Times New Roman"/>
          <w:i/>
          <w:iCs/>
          <w:color w:val="141413"/>
          <w:sz w:val="24"/>
          <w:szCs w:val="24"/>
          <w:lang w:val="en-US"/>
        </w:rPr>
        <w:t>PAL</w:t>
      </w:r>
      <w:r w:rsidRPr="00C23ABE">
        <w:rPr>
          <w:rFonts w:ascii="Times New Roman" w:hAnsi="Times New Roman" w:cs="Times New Roman"/>
          <w:color w:val="141413"/>
          <w:sz w:val="24"/>
          <w:szCs w:val="24"/>
          <w:lang w:val="en-US"/>
        </w:rPr>
        <w:t xml:space="preserve">, </w:t>
      </w:r>
      <w:r w:rsidRPr="00C23ABE">
        <w:rPr>
          <w:rFonts w:ascii="Times New Roman" w:hAnsi="Times New Roman" w:cs="Times New Roman"/>
          <w:i/>
          <w:iCs/>
          <w:color w:val="141413"/>
          <w:sz w:val="24"/>
          <w:szCs w:val="24"/>
          <w:lang w:val="en-US"/>
        </w:rPr>
        <w:t>PHENYLALANINE AMMONIA-LYASE</w:t>
      </w:r>
      <w:r w:rsidRPr="00C23ABE">
        <w:rPr>
          <w:rFonts w:ascii="Times New Roman" w:hAnsi="Times New Roman" w:cs="Times New Roman"/>
          <w:color w:val="141413"/>
          <w:sz w:val="24"/>
          <w:szCs w:val="24"/>
          <w:lang w:val="en-US"/>
        </w:rPr>
        <w:t>;</w:t>
      </w:r>
      <w:r w:rsidRPr="00C23ABE">
        <w:rPr>
          <w:rFonts w:ascii="Times New Roman" w:hAnsi="Times New Roman" w:cs="Times New Roman"/>
          <w:i/>
          <w:iCs/>
          <w:color w:val="141413"/>
          <w:sz w:val="24"/>
          <w:szCs w:val="24"/>
          <w:lang w:val="en-US"/>
        </w:rPr>
        <w:t xml:space="preserve"> ICS</w:t>
      </w:r>
      <w:r w:rsidRPr="00C23ABE">
        <w:rPr>
          <w:rFonts w:ascii="Times New Roman" w:hAnsi="Times New Roman" w:cs="Times New Roman"/>
          <w:color w:val="141413"/>
          <w:sz w:val="24"/>
          <w:szCs w:val="24"/>
          <w:lang w:val="en-US"/>
        </w:rPr>
        <w:t xml:space="preserve">, </w:t>
      </w:r>
      <w:r w:rsidRPr="00C23ABE">
        <w:rPr>
          <w:rFonts w:ascii="Times New Roman" w:hAnsi="Times New Roman" w:cs="Times New Roman"/>
          <w:i/>
          <w:iCs/>
          <w:color w:val="141413"/>
          <w:sz w:val="24"/>
          <w:szCs w:val="24"/>
          <w:lang w:val="en-US"/>
        </w:rPr>
        <w:t>ISOCHORISMATE SYNTHASE</w:t>
      </w:r>
      <w:r w:rsidRPr="00C23ABE">
        <w:rPr>
          <w:rFonts w:ascii="Times New Roman" w:hAnsi="Times New Roman" w:cs="Times New Roman"/>
          <w:color w:val="141413"/>
          <w:sz w:val="24"/>
          <w:szCs w:val="24"/>
          <w:lang w:val="en-US"/>
        </w:rPr>
        <w:t xml:space="preserve">; </w:t>
      </w:r>
      <w:r w:rsidRPr="00C23ABE">
        <w:rPr>
          <w:rFonts w:ascii="Times New Roman" w:hAnsi="Times New Roman" w:cs="Times New Roman"/>
          <w:i/>
          <w:iCs/>
          <w:color w:val="141413"/>
          <w:sz w:val="24"/>
          <w:szCs w:val="24"/>
          <w:lang w:val="en-US"/>
        </w:rPr>
        <w:t>PR1</w:t>
      </w:r>
      <w:r w:rsidRPr="00C23ABE">
        <w:rPr>
          <w:rFonts w:ascii="Times New Roman" w:hAnsi="Times New Roman" w:cs="Times New Roman"/>
          <w:color w:val="141413"/>
          <w:sz w:val="24"/>
          <w:szCs w:val="24"/>
          <w:lang w:val="en-US"/>
        </w:rPr>
        <w:t xml:space="preserve">, </w:t>
      </w:r>
      <w:r w:rsidRPr="00C23ABE">
        <w:rPr>
          <w:rFonts w:ascii="Times New Roman" w:hAnsi="Times New Roman" w:cs="Times New Roman"/>
          <w:i/>
          <w:iCs/>
          <w:color w:val="141413"/>
          <w:sz w:val="24"/>
          <w:szCs w:val="24"/>
          <w:lang w:val="en-US"/>
        </w:rPr>
        <w:t xml:space="preserve">PATHOGENESIS-RELATED PROTEIN 1; </w:t>
      </w:r>
      <w:r w:rsidRPr="00C23ABE">
        <w:rPr>
          <w:rFonts w:ascii="Times New Roman" w:hAnsi="Times New Roman" w:cs="Times New Roman"/>
          <w:i/>
          <w:iCs/>
          <w:sz w:val="24"/>
          <w:szCs w:val="24"/>
          <w:lang w:val="en-US"/>
        </w:rPr>
        <w:t>UGT74B1</w:t>
      </w:r>
      <w:r w:rsidRPr="00C23ABE">
        <w:rPr>
          <w:rFonts w:ascii="Times New Roman" w:hAnsi="Times New Roman" w:cs="Times New Roman"/>
          <w:sz w:val="24"/>
          <w:szCs w:val="24"/>
          <w:lang w:val="en-US"/>
        </w:rPr>
        <w:t>,</w:t>
      </w:r>
      <w:r w:rsidRPr="00C23ABE">
        <w:rPr>
          <w:rFonts w:ascii="Times New Roman" w:hAnsi="Times New Roman" w:cs="Times New Roman"/>
          <w:i/>
          <w:iCs/>
          <w:sz w:val="24"/>
          <w:szCs w:val="24"/>
          <w:lang w:val="en-US"/>
        </w:rPr>
        <w:t xml:space="preserve"> UDP-GLUCOSYLTRANSFERASE 74B1</w:t>
      </w:r>
      <w:r w:rsidRPr="00C23ABE">
        <w:rPr>
          <w:rFonts w:ascii="Times New Roman" w:hAnsi="Times New Roman" w:cs="Times New Roman"/>
          <w:sz w:val="24"/>
          <w:szCs w:val="24"/>
          <w:lang w:val="en-US"/>
        </w:rPr>
        <w:t>.</w:t>
      </w:r>
    </w:p>
    <w:p w14:paraId="41798D01" w14:textId="77777777" w:rsidR="003E0F53" w:rsidRPr="00C23ABE" w:rsidRDefault="003E0F53">
      <w:pPr>
        <w:rPr>
          <w:rFonts w:ascii="Times New Roman" w:hAnsi="Times New Roman" w:cs="Times New Roman"/>
          <w:sz w:val="24"/>
          <w:szCs w:val="24"/>
          <w:lang w:val="en-US"/>
        </w:rPr>
      </w:pPr>
      <w:r w:rsidRPr="00C23ABE">
        <w:rPr>
          <w:rFonts w:ascii="Times New Roman" w:hAnsi="Times New Roman" w:cs="Times New Roman"/>
          <w:sz w:val="24"/>
          <w:szCs w:val="24"/>
          <w:lang w:val="en-US"/>
        </w:rPr>
        <w:br w:type="page"/>
      </w:r>
    </w:p>
    <w:p w14:paraId="51595455" w14:textId="77777777" w:rsidR="003E0F53" w:rsidRPr="00C23ABE" w:rsidRDefault="003E0F53" w:rsidP="003E0F53">
      <w:pPr>
        <w:tabs>
          <w:tab w:val="left" w:pos="3969"/>
        </w:tabs>
        <w:spacing w:line="480" w:lineRule="auto"/>
        <w:jc w:val="both"/>
        <w:rPr>
          <w:rFonts w:ascii="Times New Roman" w:hAnsi="Times New Roman" w:cs="Times New Roman"/>
          <w:sz w:val="24"/>
          <w:szCs w:val="24"/>
          <w:lang w:val="en-US"/>
        </w:rPr>
      </w:pPr>
    </w:p>
    <w:p w14:paraId="3C723C6B" w14:textId="4DBF32D5" w:rsidR="003E0F53" w:rsidRPr="00C23ABE" w:rsidRDefault="003E0F53" w:rsidP="003E0F53">
      <w:pPr>
        <w:tabs>
          <w:tab w:val="left" w:pos="3969"/>
        </w:tabs>
        <w:spacing w:line="480" w:lineRule="auto"/>
        <w:jc w:val="center"/>
        <w:rPr>
          <w:rFonts w:ascii="Times New Roman" w:hAnsi="Times New Roman" w:cs="Times New Roman"/>
          <w:color w:val="141413"/>
          <w:sz w:val="24"/>
          <w:szCs w:val="24"/>
          <w:lang w:val="en-US"/>
        </w:rPr>
      </w:pPr>
      <w:r w:rsidRPr="00C23ABE">
        <w:rPr>
          <w:rFonts w:ascii="Times New Roman" w:hAnsi="Times New Roman" w:cs="Times New Roman"/>
          <w:noProof/>
          <w:color w:val="141413"/>
          <w:sz w:val="24"/>
          <w:szCs w:val="24"/>
          <w:lang w:val="en-US"/>
        </w:rPr>
        <w:drawing>
          <wp:inline distT="0" distB="0" distL="0" distR="0" wp14:anchorId="3B0DF609" wp14:editId="5C9696D9">
            <wp:extent cx="2874264" cy="3852672"/>
            <wp:effectExtent l="0" t="0" r="2540" b="0"/>
            <wp:docPr id="32460347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603477" name="Imagen 324603477"/>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74264" cy="3852672"/>
                    </a:xfrm>
                    <a:prstGeom prst="rect">
                      <a:avLst/>
                    </a:prstGeom>
                  </pic:spPr>
                </pic:pic>
              </a:graphicData>
            </a:graphic>
          </wp:inline>
        </w:drawing>
      </w:r>
    </w:p>
    <w:p w14:paraId="096C6126" w14:textId="77777777" w:rsidR="003E0F53" w:rsidRPr="00C23ABE" w:rsidRDefault="003E0F53" w:rsidP="003E0F53">
      <w:pPr>
        <w:spacing w:line="480" w:lineRule="auto"/>
        <w:jc w:val="both"/>
        <w:rPr>
          <w:rFonts w:ascii="Times New Roman" w:hAnsi="Times New Roman" w:cs="Times New Roman"/>
          <w:sz w:val="24"/>
          <w:szCs w:val="24"/>
          <w:lang w:val="en-US"/>
        </w:rPr>
      </w:pPr>
      <w:r w:rsidRPr="00C23ABE">
        <w:rPr>
          <w:rFonts w:ascii="Times New Roman" w:hAnsi="Times New Roman" w:cs="Times New Roman"/>
          <w:b/>
          <w:bCs/>
          <w:color w:val="141413"/>
          <w:sz w:val="24"/>
          <w:szCs w:val="24"/>
          <w:lang w:val="en-US"/>
        </w:rPr>
        <w:t xml:space="preserve">Fig. S4. </w:t>
      </w:r>
      <w:r w:rsidRPr="00C23ABE">
        <w:rPr>
          <w:rFonts w:ascii="Times New Roman" w:hAnsi="Times New Roman" w:cs="Times New Roman"/>
          <w:b/>
          <w:bCs/>
          <w:sz w:val="24"/>
          <w:szCs w:val="24"/>
          <w:lang w:val="en-US"/>
        </w:rPr>
        <w:t>Nb-mediated hypersensitive response (HR) to the PVX ROTH1 effector 25K1 in potato cultivars.</w:t>
      </w:r>
      <w:r w:rsidRPr="00C23ABE">
        <w:rPr>
          <w:rFonts w:ascii="Times New Roman" w:hAnsi="Times New Roman" w:cs="Times New Roman"/>
          <w:sz w:val="24"/>
          <w:szCs w:val="24"/>
          <w:lang w:val="en-US"/>
        </w:rPr>
        <w:t xml:space="preserve"> </w:t>
      </w:r>
      <w:r w:rsidRPr="00C23ABE">
        <w:rPr>
          <w:rFonts w:ascii="Times New Roman" w:hAnsi="Times New Roman" w:cs="Times New Roman"/>
          <w:b/>
          <w:bCs/>
          <w:sz w:val="24"/>
          <w:szCs w:val="24"/>
          <w:lang w:val="en-US"/>
        </w:rPr>
        <w:t>a.</w:t>
      </w:r>
      <w:r w:rsidRPr="00C23ABE">
        <w:rPr>
          <w:rFonts w:ascii="Times New Roman" w:hAnsi="Times New Roman" w:cs="Times New Roman"/>
          <w:sz w:val="24"/>
          <w:szCs w:val="24"/>
          <w:lang w:val="en-US"/>
        </w:rPr>
        <w:t xml:space="preserve"> Potato cultivars Pentland Ivory (resistant, </w:t>
      </w:r>
      <w:r w:rsidRPr="00C23ABE">
        <w:rPr>
          <w:rFonts w:ascii="Times New Roman" w:hAnsi="Times New Roman" w:cs="Times New Roman"/>
          <w:i/>
          <w:iCs/>
          <w:sz w:val="24"/>
          <w:szCs w:val="24"/>
          <w:lang w:val="en-US"/>
        </w:rPr>
        <w:t>Nb</w:t>
      </w:r>
      <w:r w:rsidRPr="00C23ABE">
        <w:rPr>
          <w:rFonts w:ascii="Times New Roman" w:hAnsi="Times New Roman" w:cs="Times New Roman"/>
          <w:sz w:val="24"/>
          <w:szCs w:val="24"/>
          <w:lang w:val="en-US"/>
        </w:rPr>
        <w:t xml:space="preserve">; susceptible, </w:t>
      </w:r>
      <w:proofErr w:type="spellStart"/>
      <w:r w:rsidRPr="00C23ABE">
        <w:rPr>
          <w:rFonts w:ascii="Times New Roman" w:hAnsi="Times New Roman" w:cs="Times New Roman"/>
          <w:i/>
          <w:iCs/>
          <w:sz w:val="24"/>
          <w:szCs w:val="24"/>
          <w:lang w:val="en-US"/>
        </w:rPr>
        <w:t>nb</w:t>
      </w:r>
      <w:proofErr w:type="spellEnd"/>
      <w:r w:rsidRPr="00C23ABE">
        <w:rPr>
          <w:rFonts w:ascii="Times New Roman" w:hAnsi="Times New Roman" w:cs="Times New Roman"/>
          <w:sz w:val="24"/>
          <w:szCs w:val="24"/>
          <w:lang w:val="en-US"/>
        </w:rPr>
        <w:t>), Innovator</w:t>
      </w:r>
      <w:r w:rsidRPr="00C23ABE">
        <w:rPr>
          <w:rFonts w:ascii="Times New Roman" w:hAnsi="Times New Roman" w:cs="Times New Roman"/>
          <w:i/>
          <w:iCs/>
          <w:sz w:val="24"/>
          <w:szCs w:val="24"/>
          <w:lang w:val="en-US"/>
        </w:rPr>
        <w:t xml:space="preserve"> </w:t>
      </w:r>
      <w:r w:rsidRPr="00C23ABE">
        <w:rPr>
          <w:rFonts w:ascii="Times New Roman" w:hAnsi="Times New Roman" w:cs="Times New Roman"/>
          <w:sz w:val="24"/>
          <w:szCs w:val="24"/>
          <w:lang w:val="en-US"/>
        </w:rPr>
        <w:t xml:space="preserve">(I), </w:t>
      </w:r>
      <w:proofErr w:type="spellStart"/>
      <w:r w:rsidRPr="00C23ABE">
        <w:rPr>
          <w:rFonts w:ascii="Times New Roman" w:hAnsi="Times New Roman" w:cs="Times New Roman"/>
          <w:sz w:val="24"/>
          <w:szCs w:val="24"/>
          <w:lang w:val="en-US"/>
        </w:rPr>
        <w:t>Frital</w:t>
      </w:r>
      <w:proofErr w:type="spellEnd"/>
      <w:r w:rsidRPr="00C23ABE">
        <w:rPr>
          <w:rFonts w:ascii="Times New Roman" w:hAnsi="Times New Roman" w:cs="Times New Roman"/>
          <w:sz w:val="24"/>
          <w:szCs w:val="24"/>
          <w:lang w:val="en-US"/>
        </w:rPr>
        <w:t xml:space="preserve"> (F), Kennebec</w:t>
      </w:r>
      <w:r w:rsidRPr="00C23ABE">
        <w:rPr>
          <w:rFonts w:ascii="Times New Roman" w:hAnsi="Times New Roman" w:cs="Times New Roman"/>
          <w:i/>
          <w:iCs/>
          <w:sz w:val="24"/>
          <w:szCs w:val="24"/>
          <w:lang w:val="en-US"/>
        </w:rPr>
        <w:t xml:space="preserve"> </w:t>
      </w:r>
      <w:r w:rsidRPr="00C23ABE">
        <w:rPr>
          <w:rFonts w:ascii="Times New Roman" w:hAnsi="Times New Roman" w:cs="Times New Roman"/>
          <w:sz w:val="24"/>
          <w:szCs w:val="24"/>
          <w:lang w:val="en-US"/>
        </w:rPr>
        <w:t>(K), and Spunta (</w:t>
      </w:r>
      <w:proofErr w:type="spellStart"/>
      <w:r w:rsidRPr="00C23ABE">
        <w:rPr>
          <w:rFonts w:ascii="Times New Roman" w:hAnsi="Times New Roman" w:cs="Times New Roman"/>
          <w:sz w:val="24"/>
          <w:szCs w:val="24"/>
          <w:lang w:val="en-US"/>
        </w:rPr>
        <w:t>Sp</w:t>
      </w:r>
      <w:proofErr w:type="spellEnd"/>
      <w:r w:rsidRPr="00C23ABE">
        <w:rPr>
          <w:rFonts w:ascii="Times New Roman" w:hAnsi="Times New Roman" w:cs="Times New Roman"/>
          <w:sz w:val="24"/>
          <w:szCs w:val="24"/>
          <w:lang w:val="en-US"/>
        </w:rPr>
        <w:t xml:space="preserve">) were agroinfiltrated with either pBIN25K1 (black dashed lines) or pBIN25K3 (red dashed lines). Tissue samples were harvested at the 48 h post-infiltration. White arrows indicate hypersensitive response (HR). </w:t>
      </w:r>
      <w:r w:rsidRPr="00C23ABE">
        <w:rPr>
          <w:rFonts w:ascii="Times New Roman" w:hAnsi="Times New Roman" w:cs="Times New Roman"/>
          <w:b/>
          <w:bCs/>
          <w:sz w:val="24"/>
          <w:szCs w:val="24"/>
          <w:lang w:val="en-US"/>
        </w:rPr>
        <w:t>b.</w:t>
      </w:r>
      <w:r w:rsidRPr="00C23ABE">
        <w:rPr>
          <w:rFonts w:ascii="Times New Roman" w:hAnsi="Times New Roman" w:cs="Times New Roman"/>
          <w:sz w:val="24"/>
          <w:szCs w:val="24"/>
          <w:lang w:val="en-US"/>
        </w:rPr>
        <w:t xml:space="preserve"> Analysis of genomic DNA isolated from leaves of potato cultivars Pentland Ivory (</w:t>
      </w:r>
      <w:proofErr w:type="spellStart"/>
      <w:r w:rsidRPr="00C23ABE">
        <w:rPr>
          <w:rFonts w:ascii="Times New Roman" w:hAnsi="Times New Roman" w:cs="Times New Roman"/>
          <w:i/>
          <w:iCs/>
          <w:sz w:val="24"/>
          <w:szCs w:val="24"/>
          <w:lang w:val="en-US"/>
        </w:rPr>
        <w:t>nb</w:t>
      </w:r>
      <w:proofErr w:type="spellEnd"/>
      <w:r w:rsidRPr="00C23ABE">
        <w:rPr>
          <w:rFonts w:ascii="Times New Roman" w:hAnsi="Times New Roman" w:cs="Times New Roman"/>
          <w:sz w:val="24"/>
          <w:szCs w:val="24"/>
          <w:lang w:val="en-US"/>
        </w:rPr>
        <w:t xml:space="preserve"> and </w:t>
      </w:r>
      <w:r w:rsidRPr="00C23ABE">
        <w:rPr>
          <w:rFonts w:ascii="Times New Roman" w:hAnsi="Times New Roman" w:cs="Times New Roman"/>
          <w:i/>
          <w:iCs/>
          <w:sz w:val="24"/>
          <w:szCs w:val="24"/>
          <w:lang w:val="en-US"/>
        </w:rPr>
        <w:t>Nb</w:t>
      </w:r>
      <w:r w:rsidRPr="00C23ABE">
        <w:rPr>
          <w:rFonts w:ascii="Times New Roman" w:hAnsi="Times New Roman" w:cs="Times New Roman"/>
          <w:sz w:val="24"/>
          <w:szCs w:val="24"/>
          <w:lang w:val="en-US"/>
        </w:rPr>
        <w:t xml:space="preserve">), </w:t>
      </w:r>
      <w:proofErr w:type="spellStart"/>
      <w:r w:rsidRPr="00C23ABE">
        <w:rPr>
          <w:rFonts w:ascii="Times New Roman" w:hAnsi="Times New Roman" w:cs="Times New Roman"/>
          <w:sz w:val="24"/>
          <w:szCs w:val="24"/>
          <w:lang w:val="en-US"/>
        </w:rPr>
        <w:t>Frital</w:t>
      </w:r>
      <w:proofErr w:type="spellEnd"/>
      <w:r w:rsidRPr="00C23ABE">
        <w:rPr>
          <w:rFonts w:ascii="Times New Roman" w:hAnsi="Times New Roman" w:cs="Times New Roman"/>
          <w:sz w:val="24"/>
          <w:szCs w:val="24"/>
          <w:lang w:val="en-US"/>
        </w:rPr>
        <w:t xml:space="preserve"> (F) and Innovator (I) was performed using markers SPUD237 and SPUD839. PCR products were digested with </w:t>
      </w:r>
      <w:proofErr w:type="spellStart"/>
      <w:r w:rsidRPr="00C23ABE">
        <w:rPr>
          <w:rFonts w:ascii="Times New Roman" w:hAnsi="Times New Roman" w:cs="Times New Roman"/>
          <w:i/>
          <w:iCs/>
          <w:sz w:val="24"/>
          <w:szCs w:val="24"/>
          <w:lang w:val="en-US"/>
        </w:rPr>
        <w:t>Alu</w:t>
      </w:r>
      <w:r w:rsidRPr="00C23ABE">
        <w:rPr>
          <w:rFonts w:ascii="Times New Roman" w:hAnsi="Times New Roman" w:cs="Times New Roman"/>
          <w:sz w:val="24"/>
          <w:szCs w:val="24"/>
          <w:lang w:val="en-US"/>
        </w:rPr>
        <w:t>I</w:t>
      </w:r>
      <w:proofErr w:type="spellEnd"/>
      <w:r w:rsidRPr="00C23ABE">
        <w:rPr>
          <w:rFonts w:ascii="Times New Roman" w:hAnsi="Times New Roman" w:cs="Times New Roman"/>
          <w:sz w:val="24"/>
          <w:szCs w:val="24"/>
          <w:lang w:val="en-US"/>
        </w:rPr>
        <w:t xml:space="preserve"> (SPUD237) or </w:t>
      </w:r>
      <w:r w:rsidRPr="00C23ABE">
        <w:rPr>
          <w:rFonts w:ascii="Times New Roman" w:hAnsi="Times New Roman" w:cs="Times New Roman"/>
          <w:i/>
          <w:iCs/>
          <w:sz w:val="24"/>
          <w:szCs w:val="24"/>
          <w:lang w:val="en-US"/>
        </w:rPr>
        <w:t>Alw</w:t>
      </w:r>
      <w:r w:rsidRPr="00C23ABE">
        <w:rPr>
          <w:rFonts w:ascii="Times New Roman" w:hAnsi="Times New Roman" w:cs="Times New Roman"/>
          <w:sz w:val="24"/>
          <w:szCs w:val="24"/>
          <w:lang w:val="en-US"/>
        </w:rPr>
        <w:t xml:space="preserve">N1 (SPUD839). DNA fragments linked to the </w:t>
      </w:r>
      <w:r w:rsidRPr="00C23ABE">
        <w:rPr>
          <w:rFonts w:ascii="Times New Roman" w:hAnsi="Times New Roman" w:cs="Times New Roman"/>
          <w:i/>
          <w:iCs/>
          <w:sz w:val="24"/>
          <w:szCs w:val="24"/>
          <w:lang w:val="en-US"/>
        </w:rPr>
        <w:t>Nb</w:t>
      </w:r>
      <w:r w:rsidRPr="00C23ABE">
        <w:rPr>
          <w:rFonts w:ascii="Times New Roman" w:hAnsi="Times New Roman" w:cs="Times New Roman"/>
          <w:sz w:val="24"/>
          <w:szCs w:val="24"/>
          <w:lang w:val="en-US"/>
        </w:rPr>
        <w:t xml:space="preserve"> locus are indicated by an arrow.</w:t>
      </w:r>
    </w:p>
    <w:p w14:paraId="3543C941" w14:textId="77777777" w:rsidR="003E0F53" w:rsidRPr="00C23ABE" w:rsidRDefault="003E0F53" w:rsidP="003E0F53">
      <w:pPr>
        <w:tabs>
          <w:tab w:val="left" w:pos="3969"/>
        </w:tabs>
        <w:spacing w:line="480" w:lineRule="auto"/>
        <w:jc w:val="center"/>
        <w:rPr>
          <w:rFonts w:ascii="Times New Roman" w:hAnsi="Times New Roman" w:cs="Times New Roman"/>
          <w:b/>
          <w:bCs/>
          <w:sz w:val="24"/>
          <w:szCs w:val="24"/>
          <w:lang w:val="en-US"/>
        </w:rPr>
      </w:pPr>
      <w:r w:rsidRPr="00C23ABE">
        <w:rPr>
          <w:rFonts w:ascii="Times New Roman" w:hAnsi="Times New Roman" w:cs="Times New Roman"/>
          <w:b/>
          <w:bCs/>
          <w:noProof/>
          <w:sz w:val="24"/>
          <w:szCs w:val="24"/>
          <w:lang w:val="en-US"/>
        </w:rPr>
        <w:lastRenderedPageBreak/>
        <w:drawing>
          <wp:inline distT="0" distB="0" distL="0" distR="0" wp14:anchorId="3E339E68" wp14:editId="28E7B850">
            <wp:extent cx="2959608" cy="4166616"/>
            <wp:effectExtent l="0" t="0" r="0" b="5715"/>
            <wp:docPr id="89139297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392977" name="Imagen 891392977"/>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59608" cy="4166616"/>
                    </a:xfrm>
                    <a:prstGeom prst="rect">
                      <a:avLst/>
                    </a:prstGeom>
                  </pic:spPr>
                </pic:pic>
              </a:graphicData>
            </a:graphic>
          </wp:inline>
        </w:drawing>
      </w:r>
    </w:p>
    <w:p w14:paraId="1DD7B6F7" w14:textId="71D937EF" w:rsidR="003E0F53" w:rsidRPr="00C23ABE" w:rsidRDefault="003E0F53" w:rsidP="003E0F53">
      <w:pPr>
        <w:tabs>
          <w:tab w:val="left" w:pos="3969"/>
        </w:tabs>
        <w:spacing w:line="480" w:lineRule="auto"/>
        <w:jc w:val="both"/>
        <w:rPr>
          <w:rFonts w:ascii="Times New Roman" w:hAnsi="Times New Roman" w:cs="Times New Roman"/>
          <w:color w:val="141413"/>
          <w:sz w:val="24"/>
          <w:szCs w:val="24"/>
        </w:rPr>
      </w:pPr>
      <w:r w:rsidRPr="00C23ABE">
        <w:rPr>
          <w:rFonts w:ascii="Times New Roman" w:hAnsi="Times New Roman" w:cs="Times New Roman"/>
          <w:b/>
          <w:bCs/>
          <w:sz w:val="24"/>
          <w:szCs w:val="24"/>
          <w:lang w:val="en-US"/>
        </w:rPr>
        <w:t xml:space="preserve">Fig. S5. Rosemary extract primes potato leaves against </w:t>
      </w:r>
      <w:r w:rsidRPr="00C23ABE">
        <w:rPr>
          <w:rFonts w:ascii="Times New Roman" w:hAnsi="Times New Roman" w:cs="Times New Roman"/>
          <w:b/>
          <w:bCs/>
          <w:i/>
          <w:iCs/>
          <w:sz w:val="24"/>
          <w:szCs w:val="24"/>
          <w:lang w:val="en-US"/>
        </w:rPr>
        <w:t>P. infestans</w:t>
      </w:r>
      <w:r w:rsidRPr="00C23ABE">
        <w:rPr>
          <w:rFonts w:ascii="Times New Roman" w:hAnsi="Times New Roman" w:cs="Times New Roman"/>
          <w:b/>
          <w:bCs/>
          <w:sz w:val="24"/>
          <w:szCs w:val="24"/>
          <w:lang w:val="en-US"/>
        </w:rPr>
        <w:t xml:space="preserve">. a. </w:t>
      </w:r>
      <w:r w:rsidRPr="00C23ABE">
        <w:rPr>
          <w:rFonts w:ascii="Times New Roman" w:hAnsi="Times New Roman" w:cs="Times New Roman"/>
          <w:sz w:val="24"/>
          <w:szCs w:val="24"/>
          <w:lang w:val="en-US"/>
        </w:rPr>
        <w:t xml:space="preserve">Leaves from 4–5-week-old Spunta plants were sprayed with aqueous rosemary extract (ARE) or water on two consecutive days, detached, and inoculated with </w:t>
      </w:r>
      <w:r w:rsidRPr="00C23ABE">
        <w:rPr>
          <w:rFonts w:ascii="Times New Roman" w:hAnsi="Times New Roman" w:cs="Times New Roman"/>
          <w:i/>
          <w:iCs/>
          <w:sz w:val="24"/>
          <w:szCs w:val="24"/>
          <w:lang w:val="en-US"/>
        </w:rPr>
        <w:t>P. infestans</w:t>
      </w:r>
      <w:r w:rsidRPr="00C23ABE">
        <w:rPr>
          <w:rFonts w:ascii="Times New Roman" w:hAnsi="Times New Roman" w:cs="Times New Roman"/>
          <w:sz w:val="24"/>
          <w:szCs w:val="24"/>
          <w:lang w:val="en-US"/>
        </w:rPr>
        <w:t xml:space="preserve"> zoospores. Leaves were maintained in humid chambers, and lesion area proportion (lesioned area/total leaf area) was measured at 2-, 3- and 4-days post-inoculation (dpi) using ImageJ 1.54p. </w:t>
      </w:r>
      <w:r w:rsidRPr="00C23ABE">
        <w:rPr>
          <w:rFonts w:ascii="Times New Roman" w:hAnsi="Times New Roman" w:cs="Times New Roman"/>
          <w:b/>
          <w:bCs/>
          <w:sz w:val="24"/>
          <w:szCs w:val="24"/>
          <w:lang w:val="en-US"/>
        </w:rPr>
        <w:t>b.</w:t>
      </w:r>
      <w:r w:rsidRPr="00C23ABE">
        <w:rPr>
          <w:rFonts w:ascii="Times New Roman" w:hAnsi="Times New Roman" w:cs="Times New Roman"/>
          <w:sz w:val="24"/>
          <w:szCs w:val="24"/>
          <w:lang w:val="en-US"/>
        </w:rPr>
        <w:t xml:space="preserve"> Box plots show median (line), interquartile range (box), and minimum and maximum values (whiskers). Fifteen samples were included in each assay. Statistical significance was determined by one-way analysis of variance (Sidak</w:t>
      </w:r>
      <w:r w:rsidRPr="00C23ABE">
        <w:rPr>
          <w:rFonts w:ascii="Times New Roman" w:hAnsi="Times New Roman" w:cs="Times New Roman"/>
          <w:color w:val="141413"/>
          <w:sz w:val="24"/>
          <w:szCs w:val="24"/>
          <w:lang w:val="en-US"/>
        </w:rPr>
        <w:t>'s</w:t>
      </w:r>
      <w:r w:rsidRPr="00C23ABE">
        <w:rPr>
          <w:rFonts w:ascii="Times New Roman" w:hAnsi="Times New Roman" w:cs="Times New Roman"/>
          <w:sz w:val="24"/>
          <w:szCs w:val="24"/>
          <w:lang w:val="en-US"/>
        </w:rPr>
        <w:t xml:space="preserve"> test) ** </w:t>
      </w:r>
      <w:r w:rsidRPr="00C23ABE">
        <w:rPr>
          <w:rFonts w:ascii="Times New Roman" w:hAnsi="Times New Roman" w:cs="Times New Roman"/>
          <w:i/>
          <w:iCs/>
          <w:sz w:val="24"/>
          <w:szCs w:val="24"/>
          <w:lang w:val="en-US"/>
        </w:rPr>
        <w:t xml:space="preserve">p = </w:t>
      </w:r>
      <w:r w:rsidRPr="00C23ABE">
        <w:rPr>
          <w:rFonts w:ascii="Times New Roman" w:hAnsi="Times New Roman" w:cs="Times New Roman"/>
          <w:sz w:val="24"/>
          <w:szCs w:val="24"/>
          <w:lang w:val="en-US"/>
        </w:rPr>
        <w:t xml:space="preserve">0.0003; **** </w:t>
      </w:r>
      <w:r w:rsidRPr="00C23ABE">
        <w:rPr>
          <w:rFonts w:ascii="Times New Roman" w:hAnsi="Times New Roman" w:cs="Times New Roman"/>
          <w:i/>
          <w:iCs/>
          <w:sz w:val="24"/>
          <w:szCs w:val="24"/>
          <w:lang w:val="en-US"/>
        </w:rPr>
        <w:t xml:space="preserve">p </w:t>
      </w:r>
      <w:r w:rsidRPr="00C23ABE">
        <w:rPr>
          <w:rFonts w:ascii="Times New Roman" w:hAnsi="Times New Roman" w:cs="Times New Roman"/>
          <w:color w:val="141413"/>
          <w:sz w:val="24"/>
          <w:szCs w:val="24"/>
          <w:lang w:val="en-US"/>
        </w:rPr>
        <w:t>&lt; 0.0001</w:t>
      </w:r>
      <w:r w:rsidRPr="00C23ABE">
        <w:rPr>
          <w:rFonts w:ascii="Times New Roman" w:hAnsi="Times New Roman" w:cs="Times New Roman"/>
          <w:i/>
          <w:iCs/>
          <w:sz w:val="24"/>
          <w:szCs w:val="24"/>
          <w:lang w:val="en-US"/>
        </w:rPr>
        <w:t xml:space="preserve">. </w:t>
      </w:r>
      <w:proofErr w:type="spellStart"/>
      <w:r w:rsidRPr="00C23ABE">
        <w:rPr>
          <w:rFonts w:ascii="Times New Roman" w:hAnsi="Times New Roman" w:cs="Times New Roman"/>
          <w:sz w:val="24"/>
          <w:szCs w:val="24"/>
        </w:rPr>
        <w:t>This</w:t>
      </w:r>
      <w:proofErr w:type="spellEnd"/>
      <w:r w:rsidRPr="00C23ABE">
        <w:rPr>
          <w:rFonts w:ascii="Times New Roman" w:hAnsi="Times New Roman" w:cs="Times New Roman"/>
          <w:sz w:val="24"/>
          <w:szCs w:val="24"/>
        </w:rPr>
        <w:t xml:space="preserve"> </w:t>
      </w:r>
      <w:proofErr w:type="spellStart"/>
      <w:r w:rsidRPr="00C23ABE">
        <w:rPr>
          <w:rFonts w:ascii="Times New Roman" w:hAnsi="Times New Roman" w:cs="Times New Roman"/>
          <w:sz w:val="24"/>
          <w:szCs w:val="24"/>
        </w:rPr>
        <w:t>experiment</w:t>
      </w:r>
      <w:proofErr w:type="spellEnd"/>
      <w:r w:rsidRPr="00C23ABE">
        <w:rPr>
          <w:rFonts w:ascii="Times New Roman" w:hAnsi="Times New Roman" w:cs="Times New Roman"/>
          <w:sz w:val="24"/>
          <w:szCs w:val="24"/>
        </w:rPr>
        <w:t xml:space="preserve"> </w:t>
      </w:r>
      <w:proofErr w:type="spellStart"/>
      <w:r w:rsidRPr="00C23ABE">
        <w:rPr>
          <w:rFonts w:ascii="Times New Roman" w:hAnsi="Times New Roman" w:cs="Times New Roman"/>
          <w:sz w:val="24"/>
          <w:szCs w:val="24"/>
        </w:rPr>
        <w:t>was</w:t>
      </w:r>
      <w:proofErr w:type="spellEnd"/>
      <w:r w:rsidRPr="00C23ABE">
        <w:rPr>
          <w:rFonts w:ascii="Times New Roman" w:hAnsi="Times New Roman" w:cs="Times New Roman"/>
          <w:sz w:val="24"/>
          <w:szCs w:val="24"/>
        </w:rPr>
        <w:t xml:space="preserve"> </w:t>
      </w:r>
      <w:proofErr w:type="spellStart"/>
      <w:r w:rsidRPr="00C23ABE">
        <w:rPr>
          <w:rFonts w:ascii="Times New Roman" w:hAnsi="Times New Roman" w:cs="Times New Roman"/>
          <w:sz w:val="24"/>
          <w:szCs w:val="24"/>
        </w:rPr>
        <w:t>repeated</w:t>
      </w:r>
      <w:proofErr w:type="spellEnd"/>
      <w:r w:rsidRPr="00C23ABE">
        <w:rPr>
          <w:rFonts w:ascii="Times New Roman" w:hAnsi="Times New Roman" w:cs="Times New Roman"/>
          <w:sz w:val="24"/>
          <w:szCs w:val="24"/>
        </w:rPr>
        <w:t xml:space="preserve"> </w:t>
      </w:r>
      <w:proofErr w:type="spellStart"/>
      <w:r w:rsidRPr="00C23ABE">
        <w:rPr>
          <w:rFonts w:ascii="Times New Roman" w:hAnsi="Times New Roman" w:cs="Times New Roman"/>
          <w:sz w:val="24"/>
          <w:szCs w:val="24"/>
        </w:rPr>
        <w:t>four</w:t>
      </w:r>
      <w:proofErr w:type="spellEnd"/>
      <w:r w:rsidRPr="00C23ABE">
        <w:rPr>
          <w:rFonts w:ascii="Times New Roman" w:hAnsi="Times New Roman" w:cs="Times New Roman"/>
          <w:sz w:val="24"/>
          <w:szCs w:val="24"/>
        </w:rPr>
        <w:t xml:space="preserve"> times.</w:t>
      </w:r>
    </w:p>
    <w:p w14:paraId="00CC54B7" w14:textId="77777777" w:rsidR="003E0F53" w:rsidRPr="00C23ABE" w:rsidRDefault="003E0F53" w:rsidP="003E0F53">
      <w:pPr>
        <w:jc w:val="center"/>
        <w:rPr>
          <w:rFonts w:ascii="Times New Roman" w:hAnsi="Times New Roman" w:cs="Times New Roman"/>
          <w:sz w:val="24"/>
          <w:szCs w:val="24"/>
          <w:lang w:val="en-US"/>
        </w:rPr>
      </w:pPr>
    </w:p>
    <w:sectPr w:rsidR="003E0F53" w:rsidRPr="00C23A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F53"/>
    <w:rsid w:val="00274CBA"/>
    <w:rsid w:val="003E0F53"/>
    <w:rsid w:val="005D52AB"/>
    <w:rsid w:val="00667340"/>
    <w:rsid w:val="008721DD"/>
    <w:rsid w:val="00A8441A"/>
    <w:rsid w:val="00C23ABE"/>
    <w:rsid w:val="00CC4E51"/>
    <w:rsid w:val="00F40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B97B4"/>
  <w15:chartTrackingRefBased/>
  <w15:docId w15:val="{13489B7E-B50E-4B8B-AC80-247C057FB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paragraph" w:styleId="Ttulo1">
    <w:name w:val="heading 1"/>
    <w:basedOn w:val="Normal"/>
    <w:next w:val="Normal"/>
    <w:link w:val="Ttulo1Car"/>
    <w:uiPriority w:val="9"/>
    <w:qFormat/>
    <w:rsid w:val="003E0F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3E0F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3E0F53"/>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3E0F53"/>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3E0F53"/>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3E0F5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0F5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0F5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0F5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0F53"/>
    <w:rPr>
      <w:rFonts w:asciiTheme="majorHAnsi" w:eastAsiaTheme="majorEastAsia" w:hAnsiTheme="majorHAnsi" w:cstheme="majorBidi"/>
      <w:color w:val="2F5496" w:themeColor="accent1" w:themeShade="BF"/>
      <w:sz w:val="40"/>
      <w:szCs w:val="40"/>
      <w:lang w:val="es-ES"/>
    </w:rPr>
  </w:style>
  <w:style w:type="character" w:customStyle="1" w:styleId="Ttulo2Car">
    <w:name w:val="Título 2 Car"/>
    <w:basedOn w:val="Fuentedeprrafopredeter"/>
    <w:link w:val="Ttulo2"/>
    <w:uiPriority w:val="9"/>
    <w:semiHidden/>
    <w:rsid w:val="003E0F53"/>
    <w:rPr>
      <w:rFonts w:asciiTheme="majorHAnsi" w:eastAsiaTheme="majorEastAsia" w:hAnsiTheme="majorHAnsi" w:cstheme="majorBidi"/>
      <w:color w:val="2F5496" w:themeColor="accent1" w:themeShade="BF"/>
      <w:sz w:val="32"/>
      <w:szCs w:val="32"/>
      <w:lang w:val="es-ES"/>
    </w:rPr>
  </w:style>
  <w:style w:type="character" w:customStyle="1" w:styleId="Ttulo3Car">
    <w:name w:val="Título 3 Car"/>
    <w:basedOn w:val="Fuentedeprrafopredeter"/>
    <w:link w:val="Ttulo3"/>
    <w:uiPriority w:val="9"/>
    <w:semiHidden/>
    <w:rsid w:val="003E0F53"/>
    <w:rPr>
      <w:rFonts w:eastAsiaTheme="majorEastAsia" w:cstheme="majorBidi"/>
      <w:color w:val="2F5496" w:themeColor="accent1" w:themeShade="BF"/>
      <w:sz w:val="28"/>
      <w:szCs w:val="28"/>
      <w:lang w:val="es-ES"/>
    </w:rPr>
  </w:style>
  <w:style w:type="character" w:customStyle="1" w:styleId="Ttulo4Car">
    <w:name w:val="Título 4 Car"/>
    <w:basedOn w:val="Fuentedeprrafopredeter"/>
    <w:link w:val="Ttulo4"/>
    <w:uiPriority w:val="9"/>
    <w:semiHidden/>
    <w:rsid w:val="003E0F53"/>
    <w:rPr>
      <w:rFonts w:eastAsiaTheme="majorEastAsia" w:cstheme="majorBidi"/>
      <w:i/>
      <w:iCs/>
      <w:color w:val="2F5496" w:themeColor="accent1" w:themeShade="BF"/>
      <w:lang w:val="es-ES"/>
    </w:rPr>
  </w:style>
  <w:style w:type="character" w:customStyle="1" w:styleId="Ttulo5Car">
    <w:name w:val="Título 5 Car"/>
    <w:basedOn w:val="Fuentedeprrafopredeter"/>
    <w:link w:val="Ttulo5"/>
    <w:uiPriority w:val="9"/>
    <w:semiHidden/>
    <w:rsid w:val="003E0F53"/>
    <w:rPr>
      <w:rFonts w:eastAsiaTheme="majorEastAsia" w:cstheme="majorBidi"/>
      <w:color w:val="2F5496" w:themeColor="accent1" w:themeShade="BF"/>
      <w:lang w:val="es-ES"/>
    </w:rPr>
  </w:style>
  <w:style w:type="character" w:customStyle="1" w:styleId="Ttulo6Car">
    <w:name w:val="Título 6 Car"/>
    <w:basedOn w:val="Fuentedeprrafopredeter"/>
    <w:link w:val="Ttulo6"/>
    <w:uiPriority w:val="9"/>
    <w:semiHidden/>
    <w:rsid w:val="003E0F53"/>
    <w:rPr>
      <w:rFonts w:eastAsiaTheme="majorEastAsia" w:cstheme="majorBidi"/>
      <w:i/>
      <w:iCs/>
      <w:color w:val="595959" w:themeColor="text1" w:themeTint="A6"/>
      <w:lang w:val="es-ES"/>
    </w:rPr>
  </w:style>
  <w:style w:type="character" w:customStyle="1" w:styleId="Ttulo7Car">
    <w:name w:val="Título 7 Car"/>
    <w:basedOn w:val="Fuentedeprrafopredeter"/>
    <w:link w:val="Ttulo7"/>
    <w:uiPriority w:val="9"/>
    <w:semiHidden/>
    <w:rsid w:val="003E0F53"/>
    <w:rPr>
      <w:rFonts w:eastAsiaTheme="majorEastAsia" w:cstheme="majorBidi"/>
      <w:color w:val="595959" w:themeColor="text1" w:themeTint="A6"/>
      <w:lang w:val="es-ES"/>
    </w:rPr>
  </w:style>
  <w:style w:type="character" w:customStyle="1" w:styleId="Ttulo8Car">
    <w:name w:val="Título 8 Car"/>
    <w:basedOn w:val="Fuentedeprrafopredeter"/>
    <w:link w:val="Ttulo8"/>
    <w:uiPriority w:val="9"/>
    <w:semiHidden/>
    <w:rsid w:val="003E0F53"/>
    <w:rPr>
      <w:rFonts w:eastAsiaTheme="majorEastAsia" w:cstheme="majorBidi"/>
      <w:i/>
      <w:iCs/>
      <w:color w:val="272727" w:themeColor="text1" w:themeTint="D8"/>
      <w:lang w:val="es-ES"/>
    </w:rPr>
  </w:style>
  <w:style w:type="character" w:customStyle="1" w:styleId="Ttulo9Car">
    <w:name w:val="Título 9 Car"/>
    <w:basedOn w:val="Fuentedeprrafopredeter"/>
    <w:link w:val="Ttulo9"/>
    <w:uiPriority w:val="9"/>
    <w:semiHidden/>
    <w:rsid w:val="003E0F53"/>
    <w:rPr>
      <w:rFonts w:eastAsiaTheme="majorEastAsia" w:cstheme="majorBidi"/>
      <w:color w:val="272727" w:themeColor="text1" w:themeTint="D8"/>
      <w:lang w:val="es-ES"/>
    </w:rPr>
  </w:style>
  <w:style w:type="paragraph" w:styleId="Ttulo">
    <w:name w:val="Title"/>
    <w:basedOn w:val="Normal"/>
    <w:next w:val="Normal"/>
    <w:link w:val="TtuloCar"/>
    <w:uiPriority w:val="10"/>
    <w:qFormat/>
    <w:rsid w:val="003E0F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0F53"/>
    <w:rPr>
      <w:rFonts w:asciiTheme="majorHAnsi" w:eastAsiaTheme="majorEastAsia" w:hAnsiTheme="majorHAnsi" w:cstheme="majorBidi"/>
      <w:spacing w:val="-10"/>
      <w:kern w:val="28"/>
      <w:sz w:val="56"/>
      <w:szCs w:val="56"/>
      <w:lang w:val="es-ES"/>
    </w:rPr>
  </w:style>
  <w:style w:type="paragraph" w:styleId="Subttulo">
    <w:name w:val="Subtitle"/>
    <w:basedOn w:val="Normal"/>
    <w:next w:val="Normal"/>
    <w:link w:val="SubttuloCar"/>
    <w:uiPriority w:val="11"/>
    <w:qFormat/>
    <w:rsid w:val="003E0F5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0F53"/>
    <w:rPr>
      <w:rFonts w:eastAsiaTheme="majorEastAsia" w:cstheme="majorBidi"/>
      <w:color w:val="595959" w:themeColor="text1" w:themeTint="A6"/>
      <w:spacing w:val="15"/>
      <w:sz w:val="28"/>
      <w:szCs w:val="28"/>
      <w:lang w:val="es-ES"/>
    </w:rPr>
  </w:style>
  <w:style w:type="paragraph" w:styleId="Cita">
    <w:name w:val="Quote"/>
    <w:basedOn w:val="Normal"/>
    <w:next w:val="Normal"/>
    <w:link w:val="CitaCar"/>
    <w:uiPriority w:val="29"/>
    <w:qFormat/>
    <w:rsid w:val="003E0F53"/>
    <w:pPr>
      <w:spacing w:before="160"/>
      <w:jc w:val="center"/>
    </w:pPr>
    <w:rPr>
      <w:i/>
      <w:iCs/>
      <w:color w:val="404040" w:themeColor="text1" w:themeTint="BF"/>
    </w:rPr>
  </w:style>
  <w:style w:type="character" w:customStyle="1" w:styleId="CitaCar">
    <w:name w:val="Cita Car"/>
    <w:basedOn w:val="Fuentedeprrafopredeter"/>
    <w:link w:val="Cita"/>
    <w:uiPriority w:val="29"/>
    <w:rsid w:val="003E0F53"/>
    <w:rPr>
      <w:i/>
      <w:iCs/>
      <w:color w:val="404040" w:themeColor="text1" w:themeTint="BF"/>
      <w:lang w:val="es-ES"/>
    </w:rPr>
  </w:style>
  <w:style w:type="paragraph" w:styleId="Prrafodelista">
    <w:name w:val="List Paragraph"/>
    <w:basedOn w:val="Normal"/>
    <w:uiPriority w:val="34"/>
    <w:qFormat/>
    <w:rsid w:val="003E0F53"/>
    <w:pPr>
      <w:ind w:left="720"/>
      <w:contextualSpacing/>
    </w:pPr>
  </w:style>
  <w:style w:type="character" w:styleId="nfasisintenso">
    <w:name w:val="Intense Emphasis"/>
    <w:basedOn w:val="Fuentedeprrafopredeter"/>
    <w:uiPriority w:val="21"/>
    <w:qFormat/>
    <w:rsid w:val="003E0F53"/>
    <w:rPr>
      <w:i/>
      <w:iCs/>
      <w:color w:val="2F5496" w:themeColor="accent1" w:themeShade="BF"/>
    </w:rPr>
  </w:style>
  <w:style w:type="paragraph" w:styleId="Citadestacada">
    <w:name w:val="Intense Quote"/>
    <w:basedOn w:val="Normal"/>
    <w:next w:val="Normal"/>
    <w:link w:val="CitadestacadaCar"/>
    <w:uiPriority w:val="30"/>
    <w:qFormat/>
    <w:rsid w:val="003E0F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3E0F53"/>
    <w:rPr>
      <w:i/>
      <w:iCs/>
      <w:color w:val="2F5496" w:themeColor="accent1" w:themeShade="BF"/>
      <w:lang w:val="es-ES"/>
    </w:rPr>
  </w:style>
  <w:style w:type="character" w:styleId="Referenciaintensa">
    <w:name w:val="Intense Reference"/>
    <w:basedOn w:val="Fuentedeprrafopredeter"/>
    <w:uiPriority w:val="32"/>
    <w:qFormat/>
    <w:rsid w:val="003E0F5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605</Words>
  <Characters>3450</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Lucila G</dc:creator>
  <cp:keywords/>
  <dc:description/>
  <cp:lastModifiedBy>Lucila G</cp:lastModifiedBy>
  <cp:revision>2</cp:revision>
  <dcterms:created xsi:type="dcterms:W3CDTF">2025-12-18T05:18:00Z</dcterms:created>
  <dcterms:modified xsi:type="dcterms:W3CDTF">2025-12-18T05:18:00Z</dcterms:modified>
</cp:coreProperties>
</file>